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Override PartName="/word/media/image2.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eader"/>
        <w:keepNext w:v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168"/>
          <w:tab w:val="clear" w:pos="4819"/>
          <w:tab w:val="clear" w:pos="9638"/>
        </w:tabs>
        <w:outlineLvl w:val="0"/>
        <w:rPr>
          <w:b w:val="1"/>
          <w:bCs w:val="1"/>
          <w:kern w:val="0"/>
          <w:sz w:val="22"/>
          <w:szCs w:val="22"/>
        </w:rPr>
      </w:pPr>
    </w:p>
    <w:p>
      <w:pPr>
        <w:pStyle w:val="header"/>
        <w:keepNext w:v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168"/>
          <w:tab w:val="clear" w:pos="4819"/>
          <w:tab w:val="clear" w:pos="9638"/>
        </w:tabs>
        <w:outlineLvl w:val="0"/>
        <w:rPr>
          <w:b w:val="1"/>
          <w:bCs w:val="1"/>
          <w:kern w:val="0"/>
          <w:sz w:val="26"/>
          <w:szCs w:val="26"/>
          <w:u w:val="single" w:color="ff0000"/>
        </w:rPr>
      </w:pPr>
      <w:r>
        <w:rPr>
          <w:b w:val="1"/>
          <w:bCs w:val="1"/>
          <w:kern w:val="0"/>
          <w:sz w:val="26"/>
          <w:szCs w:val="26"/>
          <w:u w:val="single"/>
          <w:rtl w:val="0"/>
          <w:lang w:val="it-IT"/>
        </w:rPr>
        <w:t>Collaborazioni e ringraziamenti</w:t>
      </w: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68"/>
        </w:tabs>
        <w:jc w:val="both"/>
        <w:rPr>
          <w:b w:val="1"/>
          <w:bCs w:val="1"/>
          <w:i w:val="1"/>
          <w:iCs w:val="1"/>
          <w:kern w:val="0"/>
          <w:sz w:val="22"/>
          <w:szCs w:val="22"/>
        </w:rPr>
      </w:pPr>
    </w:p>
    <w:p>
      <w:pPr>
        <w:pStyle w:val="Normal.0"/>
        <w:rPr>
          <w:sz w:val="22"/>
          <w:szCs w:val="22"/>
        </w:rPr>
      </w:pPr>
      <w:r>
        <w:rPr>
          <w:b w:val="1"/>
          <w:bCs w:val="1"/>
          <w:i w:val="1"/>
          <w:iCs w:val="1"/>
          <w:sz w:val="22"/>
          <w:szCs w:val="22"/>
          <w:rtl w:val="0"/>
          <w:lang w:val="it-IT"/>
        </w:rPr>
        <w:t>In collaborazione con / In collaboration with</w:t>
      </w:r>
    </w:p>
    <w:p>
      <w:pPr>
        <w:pStyle w:val="Normal.0"/>
        <w:rPr>
          <w:sz w:val="22"/>
          <w:szCs w:val="22"/>
        </w:rPr>
      </w:pPr>
      <w:r>
        <w:rPr>
          <w:sz w:val="22"/>
          <w:szCs w:val="22"/>
          <w:rtl w:val="0"/>
          <w:lang w:val="it-IT"/>
        </w:rPr>
        <w:t>Archivio Centro Studi Carusiani, Milano</w:t>
      </w:r>
    </w:p>
    <w:p>
      <w:pPr>
        <w:pStyle w:val="Normal.0"/>
        <w:rPr>
          <w:sz w:val="22"/>
          <w:szCs w:val="22"/>
        </w:rPr>
      </w:pPr>
      <w:r>
        <w:rPr>
          <w:sz w:val="22"/>
          <w:szCs w:val="22"/>
          <w:rtl w:val="0"/>
          <w:lang w:val="it-IT"/>
        </w:rPr>
        <w:t>Archivio Collezione Luciano Pituello</w:t>
      </w:r>
    </w:p>
    <w:p>
      <w:pPr>
        <w:pStyle w:val="Normal.0"/>
        <w:rPr>
          <w:sz w:val="22"/>
          <w:szCs w:val="22"/>
        </w:rPr>
      </w:pPr>
      <w:r>
        <w:rPr>
          <w:sz w:val="22"/>
          <w:szCs w:val="22"/>
          <w:rtl w:val="0"/>
          <w:lang w:val="it-IT"/>
        </w:rPr>
        <w:t>Archivio del Comune di Napoli</w:t>
      </w:r>
    </w:p>
    <w:p>
      <w:pPr>
        <w:pStyle w:val="Normal.0"/>
        <w:rPr>
          <w:sz w:val="22"/>
          <w:szCs w:val="22"/>
        </w:rPr>
      </w:pPr>
      <w:r>
        <w:rPr>
          <w:sz w:val="22"/>
          <w:szCs w:val="22"/>
          <w:rtl w:val="0"/>
          <w:lang w:val="it-IT"/>
        </w:rPr>
        <w:t>Archivio di Stato di Napoli</w:t>
      </w:r>
    </w:p>
    <w:p>
      <w:pPr>
        <w:pStyle w:val="Normal.0"/>
        <w:rPr>
          <w:sz w:val="22"/>
          <w:szCs w:val="22"/>
        </w:rPr>
      </w:pPr>
      <w:r>
        <w:rPr>
          <w:sz w:val="22"/>
          <w:szCs w:val="22"/>
          <w:rtl w:val="0"/>
          <w:lang w:val="it-IT"/>
        </w:rPr>
        <w:t>Archivio Famiglia Caruso</w:t>
      </w:r>
    </w:p>
    <w:p>
      <w:pPr>
        <w:pStyle w:val="Normal.0"/>
        <w:rPr>
          <w:sz w:val="22"/>
          <w:szCs w:val="22"/>
        </w:rPr>
      </w:pPr>
      <w:r>
        <w:rPr>
          <w:sz w:val="22"/>
          <w:szCs w:val="22"/>
          <w:rtl w:val="0"/>
          <w:lang w:val="it-IT"/>
        </w:rPr>
        <w:t>Archivio Museo Teatrale alla Scala</w:t>
      </w:r>
    </w:p>
    <w:p>
      <w:pPr>
        <w:pStyle w:val="Normal.0"/>
        <w:rPr>
          <w:sz w:val="22"/>
          <w:szCs w:val="22"/>
        </w:rPr>
      </w:pPr>
      <w:r>
        <w:rPr>
          <w:sz w:val="22"/>
          <w:szCs w:val="22"/>
          <w:rtl w:val="0"/>
          <w:lang w:val="it-IT"/>
        </w:rPr>
        <w:t>Archivio Ricordi, Milano</w:t>
      </w:r>
    </w:p>
    <w:p>
      <w:pPr>
        <w:pStyle w:val="Normal.0"/>
        <w:rPr>
          <w:sz w:val="22"/>
          <w:szCs w:val="22"/>
        </w:rPr>
      </w:pPr>
      <w:r>
        <w:rPr>
          <w:sz w:val="22"/>
          <w:szCs w:val="22"/>
          <w:rtl w:val="0"/>
          <w:lang w:val="it-IT"/>
        </w:rPr>
        <w:t>Archivio Teatro di San Carlo, Memus</w:t>
      </w:r>
    </w:p>
    <w:p>
      <w:pPr>
        <w:pStyle w:val="Normal.0"/>
        <w:rPr>
          <w:sz w:val="22"/>
          <w:szCs w:val="22"/>
        </w:rPr>
      </w:pPr>
      <w:r>
        <w:rPr>
          <w:sz w:val="22"/>
          <w:szCs w:val="22"/>
          <w:rtl w:val="0"/>
          <w:lang w:val="it-IT"/>
        </w:rPr>
        <w:t>Biblioteca Nazionale di Napoli</w:t>
      </w:r>
    </w:p>
    <w:p>
      <w:pPr>
        <w:pStyle w:val="Normal.0"/>
        <w:rPr>
          <w:sz w:val="22"/>
          <w:szCs w:val="22"/>
        </w:rPr>
      </w:pPr>
      <w:r>
        <w:rPr>
          <w:sz w:val="22"/>
          <w:szCs w:val="22"/>
          <w:rtl w:val="0"/>
          <w:lang w:val="it-IT"/>
        </w:rPr>
        <w:t>Cineteca di Bologna con/with MoMA The Museum of Modern Art</w:t>
      </w:r>
    </w:p>
    <w:p>
      <w:pPr>
        <w:pStyle w:val="Normal.0"/>
        <w:rPr>
          <w:sz w:val="22"/>
          <w:szCs w:val="22"/>
        </w:rPr>
      </w:pPr>
      <w:r>
        <w:rPr>
          <w:sz w:val="22"/>
          <w:szCs w:val="22"/>
          <w:rtl w:val="0"/>
          <w:lang w:val="it-IT"/>
        </w:rPr>
        <w:t>BFI National Archive; e/and Gosfil</w:t>
      </w:r>
      <w:r>
        <w:rPr>
          <w:sz w:val="22"/>
          <w:szCs w:val="22"/>
          <w:rtl w:val="0"/>
          <w:lang w:val="it-IT"/>
        </w:rPr>
        <w:t>’</w:t>
      </w:r>
      <w:r>
        <w:rPr>
          <w:sz w:val="22"/>
          <w:szCs w:val="22"/>
          <w:rtl w:val="0"/>
          <w:lang w:val="it-IT"/>
        </w:rPr>
        <w:t>mofond per/for My Cousin</w:t>
      </w:r>
    </w:p>
    <w:p>
      <w:pPr>
        <w:pStyle w:val="Normal.0"/>
        <w:rPr>
          <w:sz w:val="22"/>
          <w:szCs w:val="22"/>
        </w:rPr>
      </w:pPr>
      <w:r>
        <w:rPr>
          <w:sz w:val="22"/>
          <w:szCs w:val="22"/>
          <w:rtl w:val="0"/>
          <w:lang w:val="it-IT"/>
        </w:rPr>
        <w:t>Chronicling America Archives, Washington</w:t>
      </w:r>
    </w:p>
    <w:p>
      <w:pPr>
        <w:pStyle w:val="Normal.0"/>
        <w:rPr>
          <w:sz w:val="22"/>
          <w:szCs w:val="22"/>
        </w:rPr>
      </w:pPr>
      <w:r>
        <w:rPr>
          <w:sz w:val="22"/>
          <w:szCs w:val="22"/>
          <w:rtl w:val="0"/>
          <w:lang w:val="it-IT"/>
        </w:rPr>
        <w:t>Emeroteca Tucci</w:t>
      </w:r>
    </w:p>
    <w:p>
      <w:pPr>
        <w:pStyle w:val="Normal.0"/>
        <w:rPr>
          <w:sz w:val="22"/>
          <w:szCs w:val="22"/>
        </w:rPr>
      </w:pPr>
      <w:r>
        <w:rPr>
          <w:sz w:val="22"/>
          <w:szCs w:val="22"/>
          <w:rtl w:val="0"/>
          <w:lang w:val="it-IT"/>
        </w:rPr>
        <w:t>Fondazione Ansaldo Archivio Castellani Setti</w:t>
      </w:r>
    </w:p>
    <w:p>
      <w:pPr>
        <w:pStyle w:val="Normal.0"/>
        <w:rPr>
          <w:sz w:val="22"/>
          <w:szCs w:val="22"/>
        </w:rPr>
      </w:pPr>
      <w:r>
        <w:rPr>
          <w:sz w:val="22"/>
          <w:szCs w:val="22"/>
          <w:rtl w:val="0"/>
          <w:lang w:val="it-IT"/>
        </w:rPr>
        <w:t>Fondazione Simonetta Puccini per Giacomo Puccini</w:t>
      </w:r>
    </w:p>
    <w:p>
      <w:pPr>
        <w:pStyle w:val="Normal.0"/>
        <w:rPr>
          <w:sz w:val="22"/>
          <w:szCs w:val="22"/>
        </w:rPr>
      </w:pPr>
      <w:r>
        <w:rPr>
          <w:sz w:val="22"/>
          <w:szCs w:val="22"/>
          <w:rtl w:val="0"/>
          <w:lang w:val="it-IT"/>
        </w:rPr>
        <w:t>Istituto Centrale per i Beni Sonori e Audiovisivi ICBSA</w:t>
      </w:r>
    </w:p>
    <w:p>
      <w:pPr>
        <w:pStyle w:val="Normal.0"/>
        <w:rPr>
          <w:sz w:val="22"/>
          <w:szCs w:val="22"/>
        </w:rPr>
      </w:pPr>
      <w:r>
        <w:rPr>
          <w:sz w:val="22"/>
          <w:szCs w:val="22"/>
          <w:rtl w:val="0"/>
          <w:lang w:val="it-IT"/>
        </w:rPr>
        <w:t>John Hopkins Peabody Institute Archives, Baltimora</w:t>
      </w:r>
    </w:p>
    <w:p>
      <w:pPr>
        <w:pStyle w:val="Normal.0"/>
        <w:rPr>
          <w:sz w:val="22"/>
          <w:szCs w:val="22"/>
        </w:rPr>
      </w:pPr>
      <w:r>
        <w:rPr>
          <w:sz w:val="22"/>
          <w:szCs w:val="22"/>
          <w:rtl w:val="0"/>
          <w:lang w:val="it-IT"/>
        </w:rPr>
        <w:t>Library of Congress Archives, Washington</w:t>
      </w:r>
    </w:p>
    <w:p>
      <w:pPr>
        <w:pStyle w:val="Normal.0"/>
        <w:rPr>
          <w:sz w:val="22"/>
          <w:szCs w:val="22"/>
        </w:rPr>
      </w:pPr>
      <w:r>
        <w:rPr>
          <w:sz w:val="22"/>
          <w:szCs w:val="22"/>
          <w:rtl w:val="0"/>
          <w:lang w:val="it-IT"/>
        </w:rPr>
        <w:t>MetOpera Archives, New York</w:t>
      </w:r>
    </w:p>
    <w:p>
      <w:pPr>
        <w:pStyle w:val="Normal.0"/>
        <w:rPr>
          <w:sz w:val="22"/>
          <w:szCs w:val="22"/>
        </w:rPr>
      </w:pPr>
      <w:r>
        <w:rPr>
          <w:sz w:val="22"/>
          <w:szCs w:val="22"/>
          <w:rtl w:val="0"/>
          <w:lang w:val="it-IT"/>
        </w:rPr>
        <w:t>Museo Caruso Villa di Bellosguardo, Comune di Lastra a Signa</w:t>
      </w:r>
    </w:p>
    <w:p>
      <w:pPr>
        <w:pStyle w:val="Normal.0"/>
        <w:rPr>
          <w:sz w:val="22"/>
          <w:szCs w:val="22"/>
        </w:rPr>
      </w:pPr>
      <w:r>
        <w:rPr>
          <w:sz w:val="22"/>
          <w:szCs w:val="22"/>
          <w:rtl w:val="0"/>
          <w:lang w:val="it-IT"/>
        </w:rPr>
        <w:t>Museo Nazionale della Scienza a Tecnologia Leonardo da Vinci</w:t>
      </w:r>
    </w:p>
    <w:p>
      <w:pPr>
        <w:pStyle w:val="Normal.0"/>
        <w:rPr>
          <w:sz w:val="22"/>
          <w:szCs w:val="22"/>
        </w:rPr>
      </w:pPr>
      <w:r>
        <w:rPr>
          <w:sz w:val="22"/>
          <w:szCs w:val="22"/>
          <w:rtl w:val="0"/>
          <w:lang w:val="it-IT"/>
        </w:rPr>
        <w:t>New York Public Library</w:t>
      </w:r>
    </w:p>
    <w:p>
      <w:pPr>
        <w:pStyle w:val="Normal.0"/>
        <w:rPr>
          <w:sz w:val="22"/>
          <w:szCs w:val="22"/>
        </w:rPr>
      </w:pPr>
    </w:p>
    <w:p>
      <w:pPr>
        <w:pStyle w:val="Normal.0"/>
        <w:rPr>
          <w:sz w:val="22"/>
          <w:szCs w:val="22"/>
        </w:rPr>
      </w:pPr>
      <w:r>
        <w:rPr>
          <w:b w:val="1"/>
          <w:bCs w:val="1"/>
          <w:sz w:val="22"/>
          <w:szCs w:val="22"/>
          <w:u w:val="single"/>
          <w:rtl w:val="0"/>
          <w:lang w:val="it-IT"/>
        </w:rPr>
        <w:t>Ringraziamenti / Acknowledgements</w:t>
      </w:r>
    </w:p>
    <w:p>
      <w:pPr>
        <w:pStyle w:val="Normal.0"/>
        <w:rPr>
          <w:sz w:val="22"/>
          <w:szCs w:val="22"/>
        </w:rPr>
      </w:pPr>
      <w:r>
        <w:rPr>
          <w:sz w:val="22"/>
          <w:szCs w:val="22"/>
          <w:rtl w:val="0"/>
          <w:lang w:val="it-IT"/>
        </w:rPr>
        <w:t>Elena Alfani, Arretek srl, Angela Bagni, Camillo Bertacchi, Stefano Calistri, Federico Caruso, Enrico Caruso jr, Gerardo Casiello, Luciano D</w:t>
      </w:r>
      <w:r>
        <w:rPr>
          <w:sz w:val="22"/>
          <w:szCs w:val="22"/>
          <w:rtl w:val="0"/>
          <w:lang w:val="it-IT"/>
        </w:rPr>
        <w:t>’</w:t>
      </w:r>
      <w:r>
        <w:rPr>
          <w:sz w:val="22"/>
          <w:szCs w:val="22"/>
          <w:rtl w:val="0"/>
          <w:lang w:val="it-IT"/>
        </w:rPr>
        <w:t>Aleo, Antonello de Berardinis, Davide De Luca, Maria Grazia Falciatore, Gianluca Farinelli, Franco Fiume, Giusi Giustino, Franco Iacono, Maria Iannotti, Pierluigi Ledda, Massimiliano Lopez, Rossella Martignoni, Patrizia Mavilla, Michele Melidoni, Franco Moretti, Ciro Milo, Milena Pepe, Ugo Piovano, Amalia Pituello, Corinna Ranzi, Pietro Repetto, Emmanuela Spedaliere</w:t>
      </w:r>
    </w:p>
    <w:p>
      <w:pPr>
        <w:pStyle w:val="Normal.0"/>
        <w:rPr>
          <w:sz w:val="22"/>
          <w:szCs w:val="22"/>
        </w:rPr>
      </w:pPr>
    </w:p>
    <w:p>
      <w:pPr>
        <w:pStyle w:val="Normal.0"/>
        <w:rPr>
          <w:sz w:val="22"/>
          <w:szCs w:val="22"/>
        </w:rPr>
      </w:pPr>
      <w:r>
        <w:rPr>
          <w:sz w:val="22"/>
          <w:szCs w:val="22"/>
          <w:rtl w:val="0"/>
          <w:lang w:val="it-IT"/>
        </w:rPr>
        <w:t>Soprintendenza Archeologia, Belle Arti e Paesaggio per la citt</w:t>
      </w:r>
      <w:r>
        <w:rPr>
          <w:sz w:val="22"/>
          <w:szCs w:val="22"/>
          <w:rtl w:val="0"/>
          <w:lang w:val="it-IT"/>
        </w:rPr>
        <w:t xml:space="preserve">à </w:t>
      </w:r>
      <w:r>
        <w:rPr>
          <w:sz w:val="22"/>
          <w:szCs w:val="22"/>
          <w:rtl w:val="0"/>
          <w:lang w:val="it-IT"/>
        </w:rPr>
        <w:t>metropolitana di Firenze e le province di Pistoia e Prato</w:t>
      </w:r>
    </w:p>
    <w:p>
      <w:pPr>
        <w:pStyle w:val="Normal.0"/>
        <w:rPr>
          <w:b w:val="1"/>
          <w:bCs w:val="1"/>
          <w:sz w:val="22"/>
          <w:szCs w:val="22"/>
        </w:rPr>
      </w:pPr>
      <w:r>
        <w:rPr>
          <w:b w:val="1"/>
          <w:bCs w:val="1"/>
          <w:sz w:val="22"/>
          <w:szCs w:val="22"/>
          <w:rtl w:val="0"/>
          <w:lang w:val="it-IT"/>
        </w:rPr>
        <w:t>Un ringraziamento particolare a Luciano Pituello, presidente dell</w:t>
      </w:r>
      <w:r>
        <w:rPr>
          <w:b w:val="1"/>
          <w:bCs w:val="1"/>
          <w:sz w:val="22"/>
          <w:szCs w:val="22"/>
          <w:rtl w:val="0"/>
          <w:lang w:val="it-IT"/>
        </w:rPr>
        <w:t>’</w:t>
      </w:r>
      <w:r>
        <w:rPr>
          <w:b w:val="1"/>
          <w:bCs w:val="1"/>
          <w:sz w:val="22"/>
          <w:szCs w:val="22"/>
          <w:rtl w:val="0"/>
          <w:lang w:val="it-IT"/>
        </w:rPr>
        <w:t>Associazione Museo Enrico Caruso e a tutto il consiglio del Centro Studi Carusiani di Milano per la generosa donazione della collezione di cimeli al Palazzo Reale di Napoli.</w:t>
      </w:r>
    </w:p>
    <w:p>
      <w:pPr>
        <w:pStyle w:val="Normal.0"/>
        <w:rPr>
          <w:sz w:val="22"/>
          <w:szCs w:val="22"/>
        </w:rPr>
      </w:pPr>
      <w:r>
        <w:rPr>
          <w:sz w:val="22"/>
          <w:szCs w:val="22"/>
          <w:rtl w:val="0"/>
          <w:lang w:val="it-IT"/>
        </w:rPr>
        <w:t>Special thanks to Luciano Pituello, President of the Enrico Caruso Museum Association and to the board of the Centro Studi Carusiani in Milan for the generous donation of the collection of memorabilia to the Royal Palace of Naples.</w:t>
      </w: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68"/>
        </w:tabs>
        <w:jc w:val="both"/>
        <w:rPr>
          <w:b w:val="1"/>
          <w:bCs w:val="1"/>
          <w:kern w:val="0"/>
          <w:sz w:val="22"/>
          <w:szCs w:val="22"/>
        </w:rPr>
      </w:pPr>
      <w:r>
        <w:rPr>
          <w:b w:val="1"/>
          <w:bCs w:val="1"/>
          <w:kern w:val="0"/>
          <w:sz w:val="22"/>
          <w:szCs w:val="22"/>
          <w:rtl w:val="0"/>
          <w:lang w:val="it-IT"/>
        </w:rPr>
        <w:t xml:space="preserve">E per aver  realizzato prodotti </w:t>
      </w:r>
      <w:r>
        <w:rPr>
          <w:b w:val="1"/>
          <w:bCs w:val="1"/>
          <w:kern w:val="0"/>
          <w:sz w:val="22"/>
          <w:szCs w:val="22"/>
          <w:rtl w:val="0"/>
          <w:lang w:val="it-IT"/>
        </w:rPr>
        <w:t>‘</w:t>
      </w:r>
      <w:r>
        <w:rPr>
          <w:b w:val="1"/>
          <w:bCs w:val="1"/>
          <w:kern w:val="0"/>
          <w:sz w:val="22"/>
          <w:szCs w:val="22"/>
          <w:rtl w:val="0"/>
          <w:lang w:val="it-IT"/>
        </w:rPr>
        <w:t>carusiani</w:t>
      </w:r>
      <w:r>
        <w:rPr>
          <w:b w:val="1"/>
          <w:bCs w:val="1"/>
          <w:kern w:val="0"/>
          <w:sz w:val="22"/>
          <w:szCs w:val="22"/>
          <w:rtl w:val="0"/>
          <w:lang w:val="it-IT"/>
        </w:rPr>
        <w:t xml:space="preserve">’  </w:t>
      </w:r>
      <w:r>
        <w:rPr>
          <w:b w:val="1"/>
          <w:bCs w:val="1"/>
          <w:kern w:val="0"/>
          <w:sz w:val="22"/>
          <w:szCs w:val="22"/>
          <w:rtl w:val="0"/>
          <w:lang w:val="it-IT"/>
        </w:rPr>
        <w:t>per l</w:t>
      </w:r>
      <w:r>
        <w:rPr>
          <w:b w:val="1"/>
          <w:bCs w:val="1"/>
          <w:kern w:val="0"/>
          <w:sz w:val="22"/>
          <w:szCs w:val="22"/>
          <w:rtl w:val="0"/>
          <w:lang w:val="it-IT"/>
        </w:rPr>
        <w:t>’</w:t>
      </w:r>
      <w:r>
        <w:rPr>
          <w:b w:val="1"/>
          <w:bCs w:val="1"/>
          <w:kern w:val="0"/>
          <w:sz w:val="22"/>
          <w:szCs w:val="22"/>
          <w:rtl w:val="0"/>
          <w:lang w:val="it-IT"/>
        </w:rPr>
        <w:t>occasione a:</w:t>
      </w: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68"/>
        </w:tabs>
        <w:jc w:val="both"/>
        <w:rPr>
          <w:b w:val="1"/>
          <w:bCs w:val="1"/>
          <w:kern w:val="0"/>
          <w:sz w:val="22"/>
          <w:szCs w:val="22"/>
        </w:rPr>
      </w:pPr>
      <w:r>
        <w:rPr>
          <w:b w:val="1"/>
          <w:bCs w:val="1"/>
          <w:kern w:val="0"/>
          <w:sz w:val="22"/>
          <w:szCs w:val="22"/>
          <w:rtl w:val="0"/>
          <w:lang w:val="it-IT"/>
        </w:rPr>
        <w:t>Tenuta Cavalier Pepe</w:t>
      </w:r>
    </w:p>
    <w:p>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168"/>
        </w:tabs>
        <w:jc w:val="both"/>
      </w:pPr>
      <w:r>
        <w:rPr>
          <w:b w:val="1"/>
          <w:bCs w:val="1"/>
          <w:kern w:val="0"/>
          <w:sz w:val="22"/>
          <w:szCs w:val="22"/>
          <w:rtl w:val="0"/>
          <w:lang w:val="it-IT"/>
        </w:rPr>
        <w:t>Pastificio di Gragnano Cavalier Mario Vicinanz</w:t>
      </w:r>
    </w:p>
    <w:sectPr>
      <w:headerReference w:type="default" r:id="rId4"/>
      <w:footerReference w:type="default" r:id="rId5"/>
      <w:pgSz w:w="11900" w:h="16840" w:orient="portrait"/>
      <w:pgMar w:top="3402" w:right="851" w:bottom="1418" w:left="2381"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libri">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8648"/>
        <w:tab w:val="clear" w:pos="9638"/>
      </w:tabs>
    </w:pPr>
    <w:r>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560000" cy="1821602"/>
          <wp:effectExtent l="0" t="0" r="0" b="0"/>
          <wp:wrapNone/>
          <wp:docPr id="1073741825" name="officeArt object" descr="Immagine che contiene schizzo, clipart, bianco, illustrazione&#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schizzo, clipart, bianco, illustrazioneDescrizione generata automaticamente" descr="Immagine che contiene schizzo, clipart, bianco, illustrazioneDescrizione generata automaticamente"/>
                  <pic:cNvPicPr>
                    <a:picLocks noChangeAspect="1"/>
                  </pic:cNvPicPr>
                </pic:nvPicPr>
                <pic:blipFill>
                  <a:blip r:embed="rId1">
                    <a:extLst/>
                  </a:blip>
                  <a:stretch>
                    <a:fillRect/>
                  </a:stretch>
                </pic:blipFill>
                <pic:spPr>
                  <a:xfrm>
                    <a:off x="0" y="0"/>
                    <a:ext cx="7560000" cy="1821602"/>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0</wp:posOffset>
          </wp:positionH>
          <wp:positionV relativeFrom="page">
            <wp:posOffset>9936129</wp:posOffset>
          </wp:positionV>
          <wp:extent cx="7560000" cy="756000"/>
          <wp:effectExtent l="0" t="0" r="0" b="0"/>
          <wp:wrapNone/>
          <wp:docPr id="1073741826" name="officeArt object" descr="Immagine 2"/>
          <wp:cNvGraphicFramePr/>
          <a:graphic xmlns:a="http://schemas.openxmlformats.org/drawingml/2006/main">
            <a:graphicData uri="http://schemas.openxmlformats.org/drawingml/2006/picture">
              <pic:pic xmlns:pic="http://schemas.openxmlformats.org/drawingml/2006/picture">
                <pic:nvPicPr>
                  <pic:cNvPr id="1073741826" name="Immagine 2" descr="Immagine 2"/>
                  <pic:cNvPicPr>
                    <a:picLocks noChangeAspect="1"/>
                  </pic:cNvPicPr>
                </pic:nvPicPr>
                <pic:blipFill>
                  <a:blip r:embed="rId2">
                    <a:extLst/>
                  </a:blip>
                  <a:stretch>
                    <a:fillRect/>
                  </a:stretch>
                </pic:blipFill>
                <pic:spPr>
                  <a:xfrm>
                    <a:off x="0" y="0"/>
                    <a:ext cx="7560000" cy="756000"/>
                  </a:xfrm>
                  <a:prstGeom prst="rect">
                    <a:avLst/>
                  </a:prstGeom>
                  <a:ln w="12700" cap="flat">
                    <a:noFill/>
                    <a:miter lim="400000"/>
                  </a:ln>
                  <a:effectLst/>
                </pic:spPr>
              </pic:pic>
            </a:graphicData>
          </a:graphic>
        </wp:anchor>
      </w:drawing>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819"/>
        <w:tab w:val="right" w:pos="9638"/>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s>

</file>

<file path=word/theme/theme1.xml><?xml version="1.0" encoding="utf-8"?>
<a:theme xmlns:a="http://schemas.openxmlformats.org/drawingml/2006/main" xmlns:r="http://schemas.openxmlformats.org/officeDocument/2006/relationships"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